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3C8" w:rsidRDefault="006523C8">
      <w:pPr>
        <w:spacing w:after="0" w:line="263" w:lineRule="auto"/>
        <w:ind w:left="15" w:right="5" w:hanging="5"/>
      </w:pPr>
    </w:p>
    <w:p w:rsidR="00A62706" w:rsidRDefault="00A62706" w:rsidP="00842A72">
      <w:pPr>
        <w:spacing w:after="39" w:line="265" w:lineRule="auto"/>
        <w:ind w:right="437"/>
        <w:jc w:val="left"/>
        <w:sectPr w:rsidR="00A62706" w:rsidSect="00842A72">
          <w:pgSz w:w="11904" w:h="16858"/>
          <w:pgMar w:top="1134" w:right="850" w:bottom="1134" w:left="1701" w:header="720" w:footer="720" w:gutter="0"/>
          <w:cols w:space="720"/>
          <w:docGrid w:linePitch="354"/>
        </w:sectPr>
      </w:pPr>
    </w:p>
    <w:p w:rsidR="006523C8" w:rsidRDefault="00013C78" w:rsidP="00842A72">
      <w:pPr>
        <w:pStyle w:val="1"/>
        <w:jc w:val="center"/>
      </w:pPr>
      <w:r>
        <w:lastRenderedPageBreak/>
        <w:t xml:space="preserve">Оборудование и технология производства жидкой азофоски, </w:t>
      </w:r>
      <w:proofErr w:type="spellStart"/>
      <w:r>
        <w:t>диаммофоски</w:t>
      </w:r>
      <w:proofErr w:type="spellEnd"/>
      <w:r>
        <w:t xml:space="preserve"> и других сложных удобрений</w:t>
      </w:r>
    </w:p>
    <w:p w:rsidR="006523C8" w:rsidRDefault="00842A72">
      <w:pPr>
        <w:ind w:left="19" w:right="19"/>
      </w:pPr>
      <w:r>
        <w:t>Группа Компаний НАГРО п</w:t>
      </w:r>
      <w:r w:rsidR="00013C78">
        <w:t>редлагае</w:t>
      </w:r>
      <w:r>
        <w:t>т</w:t>
      </w:r>
      <w:r w:rsidR="00013C78">
        <w:t xml:space="preserve"> </w:t>
      </w:r>
      <w:r w:rsidR="00A62706">
        <w:t>технологию производ</w:t>
      </w:r>
      <w:r w:rsidR="00013C78">
        <w:t xml:space="preserve">ства Жидких Сложных Удобрений методом растворения </w:t>
      </w:r>
      <w:proofErr w:type="spellStart"/>
      <w:r w:rsidR="00013C78">
        <w:t>диаммофоски</w:t>
      </w:r>
      <w:proofErr w:type="spellEnd"/>
      <w:r w:rsidR="00013C78">
        <w:t xml:space="preserve"> или азофоски с одновременным смешиванием с сульфатом аммония и микроэлементами.</w:t>
      </w:r>
    </w:p>
    <w:p w:rsidR="006523C8" w:rsidRDefault="00013C78">
      <w:pPr>
        <w:spacing w:after="36"/>
        <w:ind w:left="19" w:right="19"/>
      </w:pPr>
      <w:r>
        <w:t xml:space="preserve">Оборудование, разработанное </w:t>
      </w:r>
      <w:r w:rsidR="00842A72">
        <w:t>ГК</w:t>
      </w:r>
      <w:r>
        <w:t xml:space="preserve"> НАГРО позволяет получать раствор азофоски 16:16:16 или </w:t>
      </w:r>
      <w:proofErr w:type="spellStart"/>
      <w:r>
        <w:t>диаммофоски</w:t>
      </w:r>
      <w:proofErr w:type="spellEnd"/>
      <w:r>
        <w:t xml:space="preserve"> 10:26:26 с добавлением серы (</w:t>
      </w:r>
      <w:r w:rsidR="00842A72">
        <w:rPr>
          <w:lang w:val="en-US"/>
        </w:rPr>
        <w:t>S</w:t>
      </w:r>
      <w:r>
        <w:t>) в виде сульфата аммония и микроэлементов.</w:t>
      </w:r>
    </w:p>
    <w:p w:rsidR="006523C8" w:rsidRDefault="00013C78" w:rsidP="00A62706">
      <w:pPr>
        <w:spacing w:after="0" w:line="280" w:lineRule="auto"/>
        <w:ind w:left="62" w:right="48" w:firstLine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39624</wp:posOffset>
            </wp:positionH>
            <wp:positionV relativeFrom="paragraph">
              <wp:posOffset>-77763</wp:posOffset>
            </wp:positionV>
            <wp:extent cx="2072640" cy="1679448"/>
            <wp:effectExtent l="0" t="0" r="0" b="0"/>
            <wp:wrapSquare wrapText="bothSides"/>
            <wp:docPr id="5533" name="Picture 55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3" name="Picture 553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679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2706">
        <w:t xml:space="preserve">Данный состав </w:t>
      </w:r>
      <w:r>
        <w:t>в жидком вид</w:t>
      </w:r>
      <w:r w:rsidR="00A62706">
        <w:t xml:space="preserve">е используется для предпосевной </w:t>
      </w:r>
      <w:r>
        <w:t>обработки почвы замещая сухие удобрения.</w:t>
      </w:r>
    </w:p>
    <w:p w:rsidR="006523C8" w:rsidRDefault="00013C78">
      <w:pPr>
        <w:ind w:left="2664" w:right="19" w:hanging="2645"/>
      </w:pPr>
      <w:r>
        <w:t xml:space="preserve">Эффективность Жидкого Сложного Удобрения выше сухого в 4 </w:t>
      </w:r>
      <w:r w:rsidR="00A62706">
        <w:t>р</w:t>
      </w:r>
      <w:r>
        <w:t>аза!</w:t>
      </w:r>
    </w:p>
    <w:p w:rsidR="006523C8" w:rsidRDefault="00013C78">
      <w:pPr>
        <w:spacing w:line="294" w:lineRule="auto"/>
        <w:ind w:left="-1" w:right="19" w:firstLine="394"/>
        <w:jc w:val="left"/>
      </w:pPr>
      <w:r>
        <w:t>Жидкие комплексные удобрения готовят на растворных компл</w:t>
      </w:r>
      <w:r w:rsidR="00557689">
        <w:t>ексах РУКАС (РУКА 150, РУКАС 300</w:t>
      </w:r>
      <w:r>
        <w:t xml:space="preserve">), по рецептуре растворяют азофоску (нитроаммофоску) 16:16:16 или </w:t>
      </w:r>
      <w:proofErr w:type="spellStart"/>
      <w:r>
        <w:t>диаммофоску</w:t>
      </w:r>
      <w:proofErr w:type="spellEnd"/>
      <w:r>
        <w:t xml:space="preserve"> 10:26:26, с добавлением серы (S) в виде сульфата аммония, микроэлементов, в пропорции 2 т азофоски, 200 кг сульфата аммония, 30 л микроэлементов, 1,5 т воды.</w:t>
      </w:r>
    </w:p>
    <w:p w:rsidR="006523C8" w:rsidRDefault="00013C78">
      <w:pPr>
        <w:ind w:left="725" w:right="19" w:firstLine="0"/>
      </w:pPr>
      <w:r>
        <w:t>Растворный узел НАГРО производит данное количество раствора за 30 мин.</w:t>
      </w:r>
    </w:p>
    <w:p w:rsidR="006523C8" w:rsidRDefault="00013C78">
      <w:pPr>
        <w:ind w:left="19" w:right="19" w:firstLine="0"/>
      </w:pPr>
      <w:r>
        <w:t>Достаточно загрузить сухие компоненты в реактор и нажать кнопку ПУСК.</w:t>
      </w:r>
    </w:p>
    <w:p w:rsidR="006523C8" w:rsidRDefault="00013C78">
      <w:pPr>
        <w:ind w:left="19" w:right="19" w:firstLine="0"/>
      </w:pPr>
      <w:r>
        <w:t>Далее машина сделает всё автоматически.</w:t>
      </w:r>
    </w:p>
    <w:p w:rsidR="006523C8" w:rsidRDefault="00013C78">
      <w:pPr>
        <w:spacing w:line="294" w:lineRule="auto"/>
        <w:ind w:left="-1" w:right="19" w:firstLine="14"/>
        <w:jc w:val="left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2468880</wp:posOffset>
            </wp:positionH>
            <wp:positionV relativeFrom="paragraph">
              <wp:posOffset>17221</wp:posOffset>
            </wp:positionV>
            <wp:extent cx="4224528" cy="1831848"/>
            <wp:effectExtent l="0" t="0" r="0" b="0"/>
            <wp:wrapSquare wrapText="bothSides"/>
            <wp:docPr id="5534" name="Picture 55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4" name="Picture 553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4528" cy="1831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Внесение готового ЖСУ (АЗФ</w:t>
      </w:r>
      <w:r w:rsidR="00557689">
        <w:t>-</w:t>
      </w:r>
      <w:r>
        <w:t>СМ) может</w:t>
      </w:r>
      <w:r>
        <w:tab/>
        <w:t>осуществляться только специальной техникой, так как в своем составе имеет мелкодисперсные растворимые вещества. Таким оборудованием</w:t>
      </w:r>
      <w:r>
        <w:tab/>
        <w:t xml:space="preserve">является техника для внесения жидких органических удобрений, </w:t>
      </w:r>
      <w:r w:rsidR="00A62706">
        <w:t>к примеру,</w:t>
      </w:r>
      <w:r>
        <w:t xml:space="preserve"> МЖТ 20 с навесным оборудованием культиваторного типа.</w:t>
      </w:r>
    </w:p>
    <w:p w:rsidR="00A62706" w:rsidRDefault="00013C78" w:rsidP="00A62706">
      <w:pPr>
        <w:spacing w:after="0"/>
        <w:ind w:left="0" w:firstLine="714"/>
      </w:pPr>
      <w:r>
        <w:t>Полученный раствор</w:t>
      </w:r>
      <w:r w:rsidR="00A62706">
        <w:t xml:space="preserve"> заливается в питающий культиват</w:t>
      </w:r>
      <w:r>
        <w:t xml:space="preserve">ор, и производится предпосевная культивация. Норму внесения определяет агроном, в зависимости от культуры и почвенных показателей. Дооборудование культиваторов системами </w:t>
      </w:r>
      <w:r w:rsidR="00A62706">
        <w:t>жидкого питания,</w:t>
      </w:r>
      <w:r>
        <w:t xml:space="preserve"> предлагаемого ЖСУ производят партнеры ГК НАГРО.</w:t>
      </w:r>
    </w:p>
    <w:p w:rsidR="006523C8" w:rsidRDefault="00013C78" w:rsidP="00842A72">
      <w:pPr>
        <w:spacing w:after="0"/>
        <w:ind w:left="0" w:firstLine="714"/>
      </w:pPr>
      <w:r>
        <w:t xml:space="preserve">Всем понятно, что использование жидких форм минеральных удобрений, особенно в комплексе (азот, фосфор, калий, сера, микроэлементы), </w:t>
      </w:r>
      <w:r w:rsidR="00A62706">
        <w:t xml:space="preserve">тем более перед посевом, </w:t>
      </w:r>
      <w:r w:rsidR="00A62706">
        <w:tab/>
        <w:t xml:space="preserve">резко </w:t>
      </w:r>
      <w:r>
        <w:t>повышает</w:t>
      </w:r>
      <w:r>
        <w:tab/>
        <w:t>эффективность</w:t>
      </w:r>
      <w:r>
        <w:tab/>
        <w:t>их использования. Также снижается количество затрат на проход для раз</w:t>
      </w:r>
      <w:r w:rsidR="00A62706">
        <w:t xml:space="preserve">брасывания </w:t>
      </w:r>
      <w:r>
        <w:t xml:space="preserve">сухих минеральных удобрений в качестве основной подкормки. </w:t>
      </w:r>
      <w:r>
        <w:lastRenderedPageBreak/>
        <w:t>Расходы по этому</w:t>
      </w:r>
      <w:r w:rsidR="00842A72">
        <w:t xml:space="preserve"> проходу будем считать 500р/га. </w:t>
      </w:r>
      <w:r>
        <w:t>Вместо внесения 200 кг сухого мин. удобрения, жидкого необходимо всего лишь 100 кг при той же (а то и большей) эффективности.</w:t>
      </w:r>
    </w:p>
    <w:p w:rsidR="006523C8" w:rsidRDefault="00013C78">
      <w:pPr>
        <w:ind w:left="19" w:right="19"/>
      </w:pPr>
      <w:r>
        <w:t>Стоимость азофоски составляет 18 тыс</w:t>
      </w:r>
      <w:r w:rsidR="00A62706">
        <w:t>..</w:t>
      </w:r>
      <w:r>
        <w:t xml:space="preserve"> руб</w:t>
      </w:r>
      <w:r w:rsidR="00A62706">
        <w:t>.</w:t>
      </w:r>
      <w:r>
        <w:t xml:space="preserve"> за тонну, </w:t>
      </w:r>
      <w:r w:rsidR="00842A72">
        <w:t>з</w:t>
      </w:r>
      <w:r>
        <w:t xml:space="preserve">начит экономия на каждый гектар составит 1 800 рублей. То есть, в </w:t>
      </w:r>
      <w:proofErr w:type="spellStart"/>
      <w:r>
        <w:t>д.в</w:t>
      </w:r>
      <w:proofErr w:type="spellEnd"/>
      <w:r>
        <w:t xml:space="preserve">. на 1 га получится 6,49 кг - азота, 13,4 кг - фосфора, 13,4 кг </w:t>
      </w:r>
      <w:r w:rsidR="00557689">
        <w:t xml:space="preserve">- </w:t>
      </w:r>
      <w:r>
        <w:t>калия, 1,3</w:t>
      </w:r>
      <w:r w:rsidR="00842A72">
        <w:t xml:space="preserve"> </w:t>
      </w:r>
      <w:r>
        <w:t xml:space="preserve">кг </w:t>
      </w:r>
      <w:r w:rsidR="00557689">
        <w:t>-</w:t>
      </w:r>
      <w:r>
        <w:t xml:space="preserve"> серы, 0,8 кг микроэлеме</w:t>
      </w:r>
      <w:r w:rsidR="00842A72">
        <w:t>нтов, при усвояемости более 90%</w:t>
      </w:r>
      <w:r>
        <w:t>.</w:t>
      </w:r>
    </w:p>
    <w:p w:rsidR="006523C8" w:rsidRDefault="00013C78" w:rsidP="00842A72">
      <w:pPr>
        <w:ind w:left="24" w:right="19" w:firstLine="684"/>
      </w:pPr>
      <w:r>
        <w:t>Для предприятия с посевной площадью 5 тыс. га прямая экономия на сложных минеральных удобрениях составит 9 млн рублей, а экономия ненужного прохода (разбрасыватели сухих мин.</w:t>
      </w:r>
      <w:r w:rsidR="00A62706">
        <w:t xml:space="preserve"> </w:t>
      </w:r>
      <w:r>
        <w:t>удобрений) составит 2,5 млн рублей.</w:t>
      </w:r>
      <w:r w:rsidR="00842A72">
        <w:t xml:space="preserve"> </w:t>
      </w:r>
      <w:r>
        <w:t>Общая прямая экономия 11,5 млн рублей.</w:t>
      </w:r>
    </w:p>
    <w:p w:rsidR="006523C8" w:rsidRDefault="00013C78">
      <w:pPr>
        <w:ind w:left="19" w:right="19"/>
      </w:pPr>
      <w:r>
        <w:t xml:space="preserve">Стоимость оборудования НАГРО в виде растворного </w:t>
      </w:r>
      <w:r w:rsidR="00557689">
        <w:t>у</w:t>
      </w:r>
      <w:r>
        <w:t xml:space="preserve">зла РУКАС 150 </w:t>
      </w:r>
      <w:r w:rsidR="00557689">
        <w:t xml:space="preserve">- </w:t>
      </w:r>
      <w:r>
        <w:t>3,5 млн рублей и переоборудование 2-х культиваторов - 4 млн рублей (итого: 3,5+2+2=7,5 млн руб.). То есть, стоимость оборудования окупается меньше, чем за одн</w:t>
      </w:r>
      <w:r w:rsidR="00842A72">
        <w:t>у</w:t>
      </w:r>
      <w:r>
        <w:t xml:space="preserve"> предпосевную обработку (один сезон).</w:t>
      </w:r>
    </w:p>
    <w:p w:rsidR="006523C8" w:rsidRDefault="00013C78">
      <w:pPr>
        <w:ind w:left="19" w:right="19"/>
      </w:pPr>
      <w:r>
        <w:t xml:space="preserve">Мало того, растворные узлы НАГРО эффективно производят растворы и азотных удобрений, производя КАС-СМ с составом: 1 </w:t>
      </w:r>
      <w:proofErr w:type="spellStart"/>
      <w:r>
        <w:t>тн</w:t>
      </w:r>
      <w:proofErr w:type="spellEnd"/>
      <w:r>
        <w:t xml:space="preserve"> селитры, 1 </w:t>
      </w:r>
      <w:proofErr w:type="spellStart"/>
      <w:r>
        <w:t>тн</w:t>
      </w:r>
      <w:proofErr w:type="spellEnd"/>
      <w:r>
        <w:t xml:space="preserve"> карбамида, 200 кг сульфата аммония, 50 кг </w:t>
      </w:r>
      <w:proofErr w:type="spellStart"/>
      <w:r>
        <w:t>монокалийфосфата</w:t>
      </w:r>
      <w:proofErr w:type="spellEnd"/>
      <w:r>
        <w:t xml:space="preserve">, 30 л микроэлементов, </w:t>
      </w:r>
      <w:r w:rsidR="00842A72">
        <w:t>в</w:t>
      </w:r>
      <w:r>
        <w:t xml:space="preserve"> количестве до 250 </w:t>
      </w:r>
      <w:proofErr w:type="spellStart"/>
      <w:r>
        <w:t>тн</w:t>
      </w:r>
      <w:proofErr w:type="spellEnd"/>
      <w:r>
        <w:t xml:space="preserve"> в сутки и с общим </w:t>
      </w:r>
      <w:proofErr w:type="spellStart"/>
      <w:r>
        <w:t>д.в</w:t>
      </w:r>
      <w:proofErr w:type="spellEnd"/>
      <w:r>
        <w:t>. 32</w:t>
      </w:r>
      <w:r w:rsidR="00557689">
        <w:t>%</w:t>
      </w:r>
      <w:r>
        <w:t xml:space="preserve">, что позволит обрабатывать растения по вегетации совместно с обработками </w:t>
      </w:r>
      <w:r w:rsidR="00B63C10">
        <w:t>СЗР</w:t>
      </w:r>
      <w:r>
        <w:t>, дробно и, как Вы видите по рецептуре, комплексно.</w:t>
      </w:r>
    </w:p>
    <w:p w:rsidR="006523C8" w:rsidRDefault="00013C78">
      <w:pPr>
        <w:ind w:left="734" w:right="19" w:firstLine="0"/>
      </w:pPr>
      <w:r>
        <w:t>Дополнительные доходы следуют из повышения урожайности с/х продукции.</w:t>
      </w:r>
    </w:p>
    <w:p w:rsidR="006523C8" w:rsidRDefault="00013C78">
      <w:pPr>
        <w:ind w:left="19" w:right="19"/>
      </w:pPr>
      <w:r>
        <w:t xml:space="preserve">Одним из основных приоритетов является снижение </w:t>
      </w:r>
      <w:proofErr w:type="spellStart"/>
      <w:r>
        <w:t>закисления</w:t>
      </w:r>
      <w:proofErr w:type="spellEnd"/>
      <w:r>
        <w:t xml:space="preserve"> почв и прекращение их деградации при постоянном использовании технологии восстановления почвенного плодородия, даже при использовании трехпольного севооборота.</w:t>
      </w:r>
    </w:p>
    <w:p w:rsidR="006523C8" w:rsidRDefault="00013C78">
      <w:pPr>
        <w:ind w:left="19" w:right="19"/>
      </w:pPr>
      <w:r>
        <w:t>При покупке растворных узлов НАГРО компания даёт в подарок на пробу комплексные органические микроэлементные удобрения НАГРО Универсальное и НАГРО Биоэнергетик общей стоимостью 1 млн рублей, рассчитанные на 500 га посевных при обработке по вегетации.</w:t>
      </w:r>
    </w:p>
    <w:p w:rsidR="006523C8" w:rsidRDefault="00013C78">
      <w:pPr>
        <w:ind w:left="24" w:right="19" w:hanging="5"/>
      </w:pPr>
      <w:r>
        <w:t>На сегодняшний день в мире не существует оборудования, аналогичного нашему по возможностям.</w:t>
      </w:r>
    </w:p>
    <w:p w:rsidR="00842A72" w:rsidRDefault="00013C78" w:rsidP="00842A72">
      <w:pPr>
        <w:spacing w:after="0"/>
        <w:ind w:left="0" w:firstLine="714"/>
      </w:pPr>
      <w:r>
        <w:t xml:space="preserve">Предприятие работает З года. За это время реализовано 90 растворных комплексов по регионам Российской Федерации и за рубежом. Покупателями являются холдинги </w:t>
      </w:r>
      <w:proofErr w:type="spellStart"/>
      <w:r>
        <w:t>Мираторг</w:t>
      </w:r>
      <w:proofErr w:type="spellEnd"/>
      <w:r>
        <w:t xml:space="preserve">, </w:t>
      </w:r>
      <w:proofErr w:type="spellStart"/>
      <w:r>
        <w:t>Русагро</w:t>
      </w:r>
      <w:proofErr w:type="spellEnd"/>
      <w:r>
        <w:t xml:space="preserve">, </w:t>
      </w:r>
      <w:proofErr w:type="spellStart"/>
      <w:r>
        <w:t>Агроэко</w:t>
      </w:r>
      <w:proofErr w:type="spellEnd"/>
      <w:r>
        <w:t>, Акрон (Плодородие), и др.</w:t>
      </w:r>
    </w:p>
    <w:p w:rsidR="006523C8" w:rsidRDefault="00013C78" w:rsidP="00842A72">
      <w:pPr>
        <w:spacing w:after="0"/>
        <w:ind w:left="0" w:firstLine="714"/>
      </w:pPr>
      <w:r>
        <w:t>Готовы предоставить всю необходимую информацию и продемонстрировать работу технологии на действующем оборудовании.</w:t>
      </w:r>
    </w:p>
    <w:p w:rsidR="006523C8" w:rsidRDefault="00013C78" w:rsidP="00842A72">
      <w:pPr>
        <w:spacing w:after="0"/>
        <w:ind w:left="0" w:firstLine="714"/>
      </w:pPr>
      <w:r>
        <w:t>В настоящее время растворные комплексы установлены и эксплуатируется на сельскохозяйственных предприятиях в Ижевской области, Рязанской области, Тамбовской области, Краснодарском</w:t>
      </w:r>
      <w:r w:rsidR="00557689">
        <w:t xml:space="preserve"> крае, Оренбургской области, Вор</w:t>
      </w:r>
      <w:r>
        <w:t>онежской области, Белгородской области, Саратовской области, Волгоградской области, Ставропольском крае, Омской области, Курской области, Пензенской области, Орловской области, Челябинской области, Республике Татарстан, Новосибирской области, Томской области, Алта</w:t>
      </w:r>
      <w:r w:rsidR="00842A72">
        <w:t xml:space="preserve">йском крае, Забайкальском крае, </w:t>
      </w:r>
      <w:r>
        <w:t xml:space="preserve">Приморском крае, Республике Казахстан. </w:t>
      </w:r>
    </w:p>
    <w:p w:rsidR="00842A72" w:rsidRPr="00557689" w:rsidRDefault="00842A72" w:rsidP="00557689">
      <w:pPr>
        <w:spacing w:after="39" w:line="265" w:lineRule="auto"/>
        <w:ind w:right="437" w:firstLine="0"/>
        <w:jc w:val="left"/>
        <w:rPr>
          <w:szCs w:val="26"/>
        </w:rPr>
      </w:pPr>
      <w:r w:rsidRPr="00557689">
        <w:rPr>
          <w:szCs w:val="26"/>
        </w:rPr>
        <w:t xml:space="preserve">Коммерческий директор </w:t>
      </w:r>
      <w:r w:rsidRPr="00557689">
        <w:rPr>
          <w:noProof/>
          <w:szCs w:val="26"/>
        </w:rPr>
        <w:drawing>
          <wp:inline distT="0" distB="0" distL="0" distR="0" wp14:anchorId="52777BA6" wp14:editId="4CCF7E46">
            <wp:extent cx="3048" cy="21336"/>
            <wp:effectExtent l="0" t="0" r="0" b="0"/>
            <wp:docPr id="4" name="Picture 5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0" name="Picture 539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7689">
        <w:rPr>
          <w:szCs w:val="26"/>
        </w:rPr>
        <w:t>Батрак А.С. т. 8 (977) 730-19-23 e-</w:t>
      </w:r>
      <w:proofErr w:type="spellStart"/>
      <w:r w:rsidRPr="00557689">
        <w:rPr>
          <w:szCs w:val="26"/>
        </w:rPr>
        <w:t>mail</w:t>
      </w:r>
      <w:proofErr w:type="spellEnd"/>
      <w:r w:rsidRPr="00557689">
        <w:rPr>
          <w:szCs w:val="26"/>
        </w:rPr>
        <w:t xml:space="preserve">: </w:t>
      </w:r>
      <w:hyperlink r:id="rId7" w:history="1">
        <w:r w:rsidRPr="00557689">
          <w:rPr>
            <w:rStyle w:val="a3"/>
            <w:szCs w:val="26"/>
            <w:u w:color="000000"/>
          </w:rPr>
          <w:t>ab.techmash@yandex.ru</w:t>
        </w:r>
      </w:hyperlink>
      <w:r w:rsidRPr="00557689">
        <w:rPr>
          <w:szCs w:val="26"/>
          <w:u w:val="single" w:color="000000"/>
        </w:rPr>
        <w:t xml:space="preserve">, </w:t>
      </w:r>
      <w:hyperlink r:id="rId8" w:history="1">
        <w:r w:rsidRPr="00557689">
          <w:rPr>
            <w:rStyle w:val="a3"/>
            <w:szCs w:val="26"/>
          </w:rPr>
          <w:t>ww</w:t>
        </w:r>
        <w:r w:rsidRPr="00557689">
          <w:rPr>
            <w:rStyle w:val="a3"/>
            <w:szCs w:val="26"/>
            <w:lang w:val="en-US"/>
          </w:rPr>
          <w:t>w</w:t>
        </w:r>
        <w:r w:rsidRPr="00557689">
          <w:rPr>
            <w:rStyle w:val="a3"/>
            <w:szCs w:val="26"/>
          </w:rPr>
          <w:t>.nagro.</w:t>
        </w:r>
        <w:r w:rsidRPr="00557689">
          <w:rPr>
            <w:rStyle w:val="a3"/>
            <w:szCs w:val="26"/>
            <w:lang w:val="en-US"/>
          </w:rPr>
          <w:t>g</w:t>
        </w:r>
        <w:r w:rsidRPr="00557689">
          <w:rPr>
            <w:rStyle w:val="a3"/>
            <w:szCs w:val="26"/>
          </w:rPr>
          <w:t>rou</w:t>
        </w:r>
        <w:r w:rsidRPr="00557689">
          <w:rPr>
            <w:rStyle w:val="a3"/>
            <w:szCs w:val="26"/>
            <w:lang w:val="en-US"/>
          </w:rPr>
          <w:t>p</w:t>
        </w:r>
      </w:hyperlink>
      <w:r w:rsidRPr="00557689">
        <w:rPr>
          <w:szCs w:val="26"/>
        </w:rPr>
        <w:t xml:space="preserve">. </w:t>
      </w:r>
      <w:bookmarkStart w:id="0" w:name="_GoBack"/>
      <w:bookmarkEnd w:id="0"/>
    </w:p>
    <w:p w:rsidR="006523C8" w:rsidRDefault="006523C8">
      <w:pPr>
        <w:spacing w:after="0" w:line="259" w:lineRule="auto"/>
        <w:ind w:left="0" w:firstLine="0"/>
        <w:jc w:val="right"/>
      </w:pPr>
    </w:p>
    <w:sectPr w:rsidR="006523C8">
      <w:type w:val="continuous"/>
      <w:pgSz w:w="11904" w:h="16858"/>
      <w:pgMar w:top="595" w:right="274" w:bottom="34" w:left="99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C8"/>
    <w:rsid w:val="00013C78"/>
    <w:rsid w:val="00557689"/>
    <w:rsid w:val="006523C8"/>
    <w:rsid w:val="00842A72"/>
    <w:rsid w:val="00A62706"/>
    <w:rsid w:val="00B6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50B2A"/>
  <w15:docId w15:val="{40784A03-F32C-4F81-A52E-5DD8C76A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95" w:lineRule="auto"/>
      <w:ind w:left="10" w:firstLine="715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5" w:line="283" w:lineRule="auto"/>
      <w:ind w:left="1238" w:right="557" w:firstLine="1109"/>
      <w:outlineLvl w:val="0"/>
    </w:pPr>
    <w:rPr>
      <w:rFonts w:ascii="Times New Roman" w:eastAsia="Times New Roman" w:hAnsi="Times New Roman" w:cs="Times New Roman"/>
      <w:color w:val="00000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842A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gro.grou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b.techmash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dcterms:created xsi:type="dcterms:W3CDTF">2019-08-26T09:12:00Z</dcterms:created>
  <dcterms:modified xsi:type="dcterms:W3CDTF">2019-08-26T09:28:00Z</dcterms:modified>
</cp:coreProperties>
</file>